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98" w:rsidRPr="006C0A29" w:rsidRDefault="008A3698" w:rsidP="008A3698">
      <w:pPr>
        <w:jc w:val="center"/>
        <w:rPr>
          <w:b/>
          <w:sz w:val="24"/>
          <w:szCs w:val="24"/>
        </w:rPr>
      </w:pPr>
      <w:r w:rsidRPr="006C0A29">
        <w:rPr>
          <w:b/>
          <w:sz w:val="24"/>
          <w:szCs w:val="24"/>
        </w:rPr>
        <w:t>The Museum of Richmond</w:t>
      </w:r>
    </w:p>
    <w:p w:rsidR="0056262A" w:rsidRPr="006C0A29" w:rsidRDefault="008A3698" w:rsidP="008A3698">
      <w:pPr>
        <w:jc w:val="center"/>
        <w:rPr>
          <w:b/>
          <w:sz w:val="24"/>
          <w:szCs w:val="24"/>
        </w:rPr>
      </w:pPr>
      <w:r w:rsidRPr="006C0A29">
        <w:rPr>
          <w:b/>
          <w:sz w:val="24"/>
          <w:szCs w:val="24"/>
        </w:rPr>
        <w:t>Risk Management Policy</w:t>
      </w:r>
    </w:p>
    <w:p w:rsidR="008A3698" w:rsidRDefault="008A3698" w:rsidP="008A3698">
      <w:pPr>
        <w:jc w:val="center"/>
        <w:rPr>
          <w:sz w:val="24"/>
          <w:szCs w:val="24"/>
        </w:rPr>
      </w:pPr>
    </w:p>
    <w:p w:rsidR="008A3698" w:rsidRPr="006C0A29" w:rsidRDefault="006C0A29" w:rsidP="00383E05">
      <w:pPr>
        <w:spacing w:line="240" w:lineRule="auto"/>
        <w:ind w:left="0"/>
        <w:rPr>
          <w:b/>
          <w:sz w:val="24"/>
          <w:szCs w:val="24"/>
        </w:rPr>
      </w:pPr>
      <w:r w:rsidRPr="006C0A29">
        <w:rPr>
          <w:b/>
          <w:sz w:val="24"/>
          <w:szCs w:val="24"/>
        </w:rPr>
        <w:t>Introduction</w:t>
      </w:r>
    </w:p>
    <w:p w:rsidR="006C0A29" w:rsidRDefault="006C0A29" w:rsidP="00383E05">
      <w:pPr>
        <w:spacing w:line="240" w:lineRule="auto"/>
        <w:ind w:left="0"/>
        <w:rPr>
          <w:sz w:val="24"/>
          <w:szCs w:val="24"/>
        </w:rPr>
      </w:pPr>
    </w:p>
    <w:p w:rsidR="006C0A29" w:rsidRDefault="006C0A29" w:rsidP="00383E05">
      <w:pPr>
        <w:spacing w:line="240" w:lineRule="auto"/>
        <w:ind w:left="0"/>
        <w:rPr>
          <w:sz w:val="24"/>
          <w:szCs w:val="24"/>
        </w:rPr>
      </w:pPr>
      <w:r>
        <w:rPr>
          <w:sz w:val="24"/>
          <w:szCs w:val="24"/>
        </w:rPr>
        <w:t>The aim of risk management within the Museum is to achieve an optimum response to risk, prioritised in accordance with an evaluation of the risks. The approach adopted takes into account the guidance provided by the Charity Commission (Charities and Risk Management, CC26).</w:t>
      </w:r>
    </w:p>
    <w:p w:rsidR="006C0A29" w:rsidRDefault="006C0A29" w:rsidP="00383E05">
      <w:pPr>
        <w:spacing w:line="240" w:lineRule="auto"/>
        <w:ind w:left="0"/>
        <w:rPr>
          <w:sz w:val="24"/>
          <w:szCs w:val="24"/>
        </w:rPr>
      </w:pPr>
    </w:p>
    <w:p w:rsidR="006C0A29" w:rsidRDefault="00D40A96" w:rsidP="00383E05">
      <w:pPr>
        <w:spacing w:line="240" w:lineRule="auto"/>
        <w:ind w:left="0"/>
        <w:rPr>
          <w:b/>
          <w:sz w:val="24"/>
          <w:szCs w:val="24"/>
        </w:rPr>
      </w:pPr>
      <w:r>
        <w:rPr>
          <w:b/>
          <w:sz w:val="24"/>
          <w:szCs w:val="24"/>
        </w:rPr>
        <w:t>Approach</w:t>
      </w:r>
    </w:p>
    <w:p w:rsidR="00D40A96" w:rsidRDefault="00D40A96" w:rsidP="00383E05">
      <w:pPr>
        <w:spacing w:line="240" w:lineRule="auto"/>
        <w:ind w:left="0"/>
        <w:rPr>
          <w:b/>
          <w:sz w:val="24"/>
          <w:szCs w:val="24"/>
        </w:rPr>
      </w:pPr>
    </w:p>
    <w:p w:rsidR="00D40A96" w:rsidRDefault="00D40A96" w:rsidP="00383E05">
      <w:pPr>
        <w:spacing w:line="240" w:lineRule="auto"/>
        <w:ind w:left="0"/>
        <w:rPr>
          <w:sz w:val="24"/>
          <w:szCs w:val="24"/>
        </w:rPr>
      </w:pPr>
      <w:r>
        <w:rPr>
          <w:sz w:val="24"/>
          <w:szCs w:val="24"/>
        </w:rPr>
        <w:t xml:space="preserve">The Museum evaluates risk </w:t>
      </w:r>
      <w:r w:rsidR="00BB3FDF">
        <w:rPr>
          <w:sz w:val="24"/>
          <w:szCs w:val="24"/>
        </w:rPr>
        <w:t xml:space="preserve">by </w:t>
      </w:r>
      <w:r>
        <w:rPr>
          <w:sz w:val="24"/>
          <w:szCs w:val="24"/>
        </w:rPr>
        <w:t>assessing the likelihood of something happening, and the impact upon the Museum should that occur. The areas of risk assessed are:</w:t>
      </w:r>
    </w:p>
    <w:p w:rsidR="00D40A96" w:rsidRDefault="00D40A96" w:rsidP="006C0A29">
      <w:pPr>
        <w:spacing w:line="240" w:lineRule="auto"/>
        <w:rPr>
          <w:sz w:val="24"/>
          <w:szCs w:val="24"/>
        </w:rPr>
      </w:pPr>
    </w:p>
    <w:p w:rsidR="00D40A96" w:rsidRDefault="00D40A96" w:rsidP="00D40A96">
      <w:pPr>
        <w:numPr>
          <w:ilvl w:val="0"/>
          <w:numId w:val="1"/>
        </w:numPr>
        <w:spacing w:line="240" w:lineRule="auto"/>
        <w:rPr>
          <w:sz w:val="24"/>
          <w:szCs w:val="24"/>
        </w:rPr>
      </w:pPr>
      <w:r>
        <w:rPr>
          <w:sz w:val="24"/>
          <w:szCs w:val="24"/>
        </w:rPr>
        <w:t>Governance risks</w:t>
      </w:r>
    </w:p>
    <w:p w:rsidR="00D40A96" w:rsidRDefault="00D40A96" w:rsidP="00D40A96">
      <w:pPr>
        <w:numPr>
          <w:ilvl w:val="0"/>
          <w:numId w:val="1"/>
        </w:numPr>
        <w:spacing w:line="240" w:lineRule="auto"/>
        <w:rPr>
          <w:sz w:val="24"/>
          <w:szCs w:val="24"/>
        </w:rPr>
      </w:pPr>
      <w:r>
        <w:rPr>
          <w:sz w:val="24"/>
          <w:szCs w:val="24"/>
        </w:rPr>
        <w:t>Operational risks</w:t>
      </w:r>
    </w:p>
    <w:p w:rsidR="00D40A96" w:rsidRDefault="00D40A96" w:rsidP="00D40A96">
      <w:pPr>
        <w:numPr>
          <w:ilvl w:val="0"/>
          <w:numId w:val="1"/>
        </w:numPr>
        <w:spacing w:line="240" w:lineRule="auto"/>
        <w:rPr>
          <w:sz w:val="24"/>
          <w:szCs w:val="24"/>
        </w:rPr>
      </w:pPr>
      <w:r>
        <w:rPr>
          <w:sz w:val="24"/>
          <w:szCs w:val="24"/>
        </w:rPr>
        <w:t>Financial risks</w:t>
      </w:r>
    </w:p>
    <w:p w:rsidR="00D40A96" w:rsidRDefault="00D40A96" w:rsidP="00D40A96">
      <w:pPr>
        <w:numPr>
          <w:ilvl w:val="0"/>
          <w:numId w:val="1"/>
        </w:numPr>
        <w:spacing w:line="240" w:lineRule="auto"/>
        <w:rPr>
          <w:sz w:val="24"/>
          <w:szCs w:val="24"/>
        </w:rPr>
      </w:pPr>
      <w:r>
        <w:rPr>
          <w:sz w:val="24"/>
          <w:szCs w:val="24"/>
        </w:rPr>
        <w:t>Environmental or external factors</w:t>
      </w:r>
    </w:p>
    <w:p w:rsidR="00D40A96" w:rsidRDefault="00D40A96" w:rsidP="00D40A96">
      <w:pPr>
        <w:numPr>
          <w:ilvl w:val="0"/>
          <w:numId w:val="1"/>
        </w:numPr>
        <w:spacing w:line="240" w:lineRule="auto"/>
        <w:rPr>
          <w:sz w:val="24"/>
          <w:szCs w:val="24"/>
        </w:rPr>
      </w:pPr>
      <w:r>
        <w:rPr>
          <w:sz w:val="24"/>
          <w:szCs w:val="24"/>
        </w:rPr>
        <w:t>Compliance risk (law and regulation)</w:t>
      </w:r>
    </w:p>
    <w:p w:rsidR="00D40A96" w:rsidRDefault="00D40A96" w:rsidP="00D40A96">
      <w:pPr>
        <w:spacing w:line="240" w:lineRule="auto"/>
        <w:rPr>
          <w:sz w:val="24"/>
          <w:szCs w:val="24"/>
        </w:rPr>
      </w:pPr>
    </w:p>
    <w:p w:rsidR="00D40A96" w:rsidRDefault="00D40A96" w:rsidP="00D40A96">
      <w:pPr>
        <w:spacing w:line="240" w:lineRule="auto"/>
        <w:ind w:left="0"/>
        <w:rPr>
          <w:i/>
          <w:sz w:val="24"/>
          <w:szCs w:val="24"/>
        </w:rPr>
      </w:pPr>
      <w:r>
        <w:rPr>
          <w:sz w:val="24"/>
          <w:szCs w:val="24"/>
        </w:rPr>
        <w:t xml:space="preserve">The Museum’s collection is owned by a separate body, </w:t>
      </w:r>
      <w:proofErr w:type="gramStart"/>
      <w:r>
        <w:rPr>
          <w:sz w:val="24"/>
          <w:szCs w:val="24"/>
        </w:rPr>
        <w:t xml:space="preserve">the </w:t>
      </w:r>
      <w:r w:rsidR="00824397">
        <w:rPr>
          <w:sz w:val="24"/>
          <w:szCs w:val="24"/>
        </w:rPr>
        <w:t xml:space="preserve"> Museum</w:t>
      </w:r>
      <w:proofErr w:type="gramEnd"/>
      <w:r w:rsidR="00824397">
        <w:rPr>
          <w:sz w:val="24"/>
          <w:szCs w:val="24"/>
        </w:rPr>
        <w:t xml:space="preserve"> of Richmond Trust, and </w:t>
      </w:r>
      <w:r w:rsidR="00EE3B21">
        <w:rPr>
          <w:sz w:val="24"/>
          <w:szCs w:val="24"/>
        </w:rPr>
        <w:t xml:space="preserve">it </w:t>
      </w:r>
      <w:r w:rsidR="00824397">
        <w:rPr>
          <w:sz w:val="24"/>
          <w:szCs w:val="24"/>
        </w:rPr>
        <w:t>is not the direct responsibility of the Mus</w:t>
      </w:r>
      <w:r w:rsidR="001D39D0">
        <w:rPr>
          <w:sz w:val="24"/>
          <w:szCs w:val="24"/>
        </w:rPr>
        <w:t>eum.</w:t>
      </w:r>
      <w:bookmarkStart w:id="0" w:name="_GoBack"/>
      <w:bookmarkEnd w:id="0"/>
    </w:p>
    <w:p w:rsidR="00383E05" w:rsidRDefault="00383E05" w:rsidP="00D40A96">
      <w:pPr>
        <w:spacing w:line="240" w:lineRule="auto"/>
        <w:ind w:left="0"/>
        <w:rPr>
          <w:i/>
          <w:sz w:val="24"/>
          <w:szCs w:val="24"/>
        </w:rPr>
      </w:pPr>
    </w:p>
    <w:p w:rsidR="00383E05" w:rsidRPr="00383E05" w:rsidRDefault="00383E05" w:rsidP="00D40A96">
      <w:pPr>
        <w:spacing w:line="240" w:lineRule="auto"/>
        <w:ind w:left="0"/>
        <w:rPr>
          <w:sz w:val="24"/>
          <w:szCs w:val="24"/>
        </w:rPr>
      </w:pPr>
      <w:r>
        <w:rPr>
          <w:sz w:val="24"/>
          <w:szCs w:val="24"/>
        </w:rPr>
        <w:t xml:space="preserve">Those areas of risk that are adjudged to require particular monitoring, or action to mitigate risk, are included in the Risk Register. </w:t>
      </w:r>
    </w:p>
    <w:p w:rsidR="00EE3B21" w:rsidRDefault="00EE3B21" w:rsidP="00D40A96">
      <w:pPr>
        <w:spacing w:line="240" w:lineRule="auto"/>
        <w:ind w:left="0"/>
        <w:rPr>
          <w:i/>
          <w:sz w:val="24"/>
          <w:szCs w:val="24"/>
        </w:rPr>
      </w:pPr>
    </w:p>
    <w:p w:rsidR="00EE3B21" w:rsidRDefault="00383E05" w:rsidP="00D40A96">
      <w:pPr>
        <w:spacing w:line="240" w:lineRule="auto"/>
        <w:ind w:left="0"/>
        <w:rPr>
          <w:b/>
          <w:sz w:val="24"/>
          <w:szCs w:val="24"/>
        </w:rPr>
      </w:pPr>
      <w:r w:rsidRPr="00383E05">
        <w:rPr>
          <w:b/>
          <w:sz w:val="24"/>
          <w:szCs w:val="24"/>
        </w:rPr>
        <w:t>Procedure</w:t>
      </w:r>
    </w:p>
    <w:p w:rsidR="00383E05" w:rsidRDefault="00383E05" w:rsidP="00D40A96">
      <w:pPr>
        <w:spacing w:line="240" w:lineRule="auto"/>
        <w:ind w:left="0"/>
        <w:rPr>
          <w:b/>
          <w:sz w:val="24"/>
          <w:szCs w:val="24"/>
        </w:rPr>
      </w:pPr>
    </w:p>
    <w:p w:rsidR="00383E05" w:rsidRDefault="00383E05" w:rsidP="00D40A96">
      <w:pPr>
        <w:spacing w:line="240" w:lineRule="auto"/>
        <w:ind w:left="0"/>
        <w:rPr>
          <w:sz w:val="24"/>
          <w:szCs w:val="24"/>
        </w:rPr>
      </w:pPr>
      <w:r>
        <w:rPr>
          <w:sz w:val="24"/>
          <w:szCs w:val="24"/>
        </w:rPr>
        <w:t>Risk management of the Museum is overseen by the Risk Management committee, consisting of three board members appointed by the board, and which reports to the board at least annually at the November meeting.</w:t>
      </w:r>
    </w:p>
    <w:p w:rsidR="00383E05" w:rsidRDefault="00383E05" w:rsidP="00D40A96">
      <w:pPr>
        <w:spacing w:line="240" w:lineRule="auto"/>
        <w:ind w:left="0"/>
        <w:rPr>
          <w:sz w:val="24"/>
          <w:szCs w:val="24"/>
        </w:rPr>
      </w:pPr>
    </w:p>
    <w:p w:rsidR="004C5F02" w:rsidRDefault="004C5F02" w:rsidP="00D40A96">
      <w:pPr>
        <w:spacing w:line="240" w:lineRule="auto"/>
        <w:ind w:left="0"/>
        <w:rPr>
          <w:sz w:val="24"/>
          <w:szCs w:val="24"/>
        </w:rPr>
      </w:pPr>
      <w:r>
        <w:rPr>
          <w:sz w:val="24"/>
          <w:szCs w:val="24"/>
        </w:rPr>
        <w:t>The committee’s role is:</w:t>
      </w:r>
    </w:p>
    <w:p w:rsidR="004C5F02" w:rsidRDefault="004C5F02" w:rsidP="004C5F02">
      <w:pPr>
        <w:numPr>
          <w:ilvl w:val="0"/>
          <w:numId w:val="2"/>
        </w:numPr>
        <w:spacing w:line="240" w:lineRule="auto"/>
        <w:rPr>
          <w:sz w:val="24"/>
          <w:szCs w:val="24"/>
        </w:rPr>
      </w:pPr>
      <w:r>
        <w:rPr>
          <w:sz w:val="24"/>
          <w:szCs w:val="24"/>
        </w:rPr>
        <w:t xml:space="preserve">to assess all known areas of risk, </w:t>
      </w:r>
    </w:p>
    <w:p w:rsidR="004C5F02" w:rsidRDefault="004C5F02" w:rsidP="004C5F02">
      <w:pPr>
        <w:numPr>
          <w:ilvl w:val="0"/>
          <w:numId w:val="2"/>
        </w:numPr>
        <w:spacing w:line="240" w:lineRule="auto"/>
        <w:rPr>
          <w:sz w:val="24"/>
          <w:szCs w:val="24"/>
        </w:rPr>
      </w:pPr>
      <w:r>
        <w:rPr>
          <w:sz w:val="24"/>
          <w:szCs w:val="24"/>
        </w:rPr>
        <w:t>to assess the level of risk of each to the Museum,</w:t>
      </w:r>
    </w:p>
    <w:p w:rsidR="004C5F02" w:rsidRDefault="004C5F02" w:rsidP="004C5F02">
      <w:pPr>
        <w:numPr>
          <w:ilvl w:val="0"/>
          <w:numId w:val="2"/>
        </w:numPr>
        <w:spacing w:line="240" w:lineRule="auto"/>
        <w:rPr>
          <w:sz w:val="24"/>
          <w:szCs w:val="24"/>
        </w:rPr>
      </w:pPr>
      <w:r>
        <w:rPr>
          <w:sz w:val="24"/>
          <w:szCs w:val="24"/>
        </w:rPr>
        <w:t>to maintain the risk register</w:t>
      </w:r>
    </w:p>
    <w:p w:rsidR="004C5F02" w:rsidRDefault="004C5F02" w:rsidP="004C5F02">
      <w:pPr>
        <w:numPr>
          <w:ilvl w:val="0"/>
          <w:numId w:val="2"/>
        </w:numPr>
        <w:spacing w:line="240" w:lineRule="auto"/>
        <w:rPr>
          <w:sz w:val="24"/>
          <w:szCs w:val="24"/>
        </w:rPr>
      </w:pPr>
      <w:r>
        <w:rPr>
          <w:sz w:val="24"/>
          <w:szCs w:val="24"/>
        </w:rPr>
        <w:t>to evaluate the effectiveness of steps taken to mitigate risk</w:t>
      </w:r>
    </w:p>
    <w:p w:rsidR="004C5F02" w:rsidRDefault="004C5F02" w:rsidP="004C5F02">
      <w:pPr>
        <w:numPr>
          <w:ilvl w:val="0"/>
          <w:numId w:val="2"/>
        </w:numPr>
        <w:spacing w:line="240" w:lineRule="auto"/>
        <w:rPr>
          <w:sz w:val="24"/>
          <w:szCs w:val="24"/>
        </w:rPr>
      </w:pPr>
      <w:r>
        <w:rPr>
          <w:sz w:val="24"/>
          <w:szCs w:val="24"/>
        </w:rPr>
        <w:t>to report to the board on its assessment of risks and proposed mitigating actions.</w:t>
      </w:r>
    </w:p>
    <w:p w:rsidR="004C5F02" w:rsidRDefault="004C5F02" w:rsidP="004C5F02">
      <w:pPr>
        <w:spacing w:line="240" w:lineRule="auto"/>
        <w:ind w:left="44"/>
        <w:rPr>
          <w:sz w:val="24"/>
          <w:szCs w:val="24"/>
        </w:rPr>
      </w:pPr>
    </w:p>
    <w:p w:rsidR="00330B11" w:rsidRDefault="004C5F02" w:rsidP="004C5F02">
      <w:pPr>
        <w:spacing w:line="240" w:lineRule="auto"/>
        <w:ind w:left="44"/>
        <w:rPr>
          <w:sz w:val="24"/>
          <w:szCs w:val="24"/>
        </w:rPr>
      </w:pPr>
      <w:r>
        <w:rPr>
          <w:sz w:val="24"/>
          <w:szCs w:val="24"/>
        </w:rPr>
        <w:t xml:space="preserve">When appropriate the committee may appoint an </w:t>
      </w:r>
      <w:r w:rsidR="00330B11">
        <w:rPr>
          <w:sz w:val="24"/>
          <w:szCs w:val="24"/>
        </w:rPr>
        <w:t>individual to assess a specific area of risk, and ways of mitigating it, to report to the committee with their findings.</w:t>
      </w:r>
    </w:p>
    <w:p w:rsidR="00330B11" w:rsidRDefault="00330B11" w:rsidP="004C5F02">
      <w:pPr>
        <w:spacing w:line="240" w:lineRule="auto"/>
        <w:ind w:left="44"/>
        <w:rPr>
          <w:sz w:val="24"/>
          <w:szCs w:val="24"/>
        </w:rPr>
      </w:pPr>
    </w:p>
    <w:p w:rsidR="004C5F02" w:rsidRDefault="00330B11" w:rsidP="004C5F02">
      <w:pPr>
        <w:spacing w:line="240" w:lineRule="auto"/>
        <w:ind w:left="44"/>
        <w:rPr>
          <w:sz w:val="24"/>
          <w:szCs w:val="24"/>
        </w:rPr>
      </w:pPr>
      <w:r>
        <w:rPr>
          <w:sz w:val="24"/>
          <w:szCs w:val="24"/>
        </w:rPr>
        <w:t>Risk assessment is necessarily an ongoing process, and all board members need individually to be alert to potential areas of risk and to bring these to the attention of the chair if it is thought there is an unacceptable exposure to a specific risk that requires attention.</w:t>
      </w:r>
    </w:p>
    <w:p w:rsidR="00330B11" w:rsidRDefault="00330B11" w:rsidP="004C5F02">
      <w:pPr>
        <w:spacing w:line="240" w:lineRule="auto"/>
        <w:ind w:left="44"/>
        <w:rPr>
          <w:sz w:val="24"/>
          <w:szCs w:val="24"/>
        </w:rPr>
      </w:pPr>
    </w:p>
    <w:p w:rsidR="00330B11" w:rsidRDefault="00330B11" w:rsidP="004C5F02">
      <w:pPr>
        <w:spacing w:line="240" w:lineRule="auto"/>
        <w:ind w:left="44"/>
        <w:rPr>
          <w:sz w:val="24"/>
          <w:szCs w:val="24"/>
        </w:rPr>
      </w:pPr>
    </w:p>
    <w:p w:rsidR="00330B11" w:rsidRDefault="00330B11" w:rsidP="004C5F02">
      <w:pPr>
        <w:spacing w:line="240" w:lineRule="auto"/>
        <w:ind w:left="44"/>
        <w:rPr>
          <w:sz w:val="24"/>
          <w:szCs w:val="24"/>
        </w:rPr>
      </w:pPr>
    </w:p>
    <w:p w:rsidR="00330B11" w:rsidRDefault="00330B11" w:rsidP="001D39D0">
      <w:pPr>
        <w:spacing w:line="240" w:lineRule="auto"/>
        <w:ind w:left="44"/>
        <w:rPr>
          <w:sz w:val="24"/>
          <w:szCs w:val="24"/>
        </w:rPr>
      </w:pPr>
      <w:r>
        <w:rPr>
          <w:sz w:val="24"/>
          <w:szCs w:val="24"/>
        </w:rPr>
        <w:t>Approved by the Board</w:t>
      </w:r>
      <w:r w:rsidR="001D39D0">
        <w:rPr>
          <w:sz w:val="24"/>
          <w:szCs w:val="24"/>
        </w:rPr>
        <w:t xml:space="preserve">:   </w:t>
      </w:r>
      <w:r w:rsidR="001D39D0" w:rsidRPr="001D39D0">
        <w:rPr>
          <w:b/>
          <w:sz w:val="24"/>
          <w:szCs w:val="24"/>
        </w:rPr>
        <w:t>Sir David Bostock</w:t>
      </w:r>
    </w:p>
    <w:p w:rsidR="00330B11" w:rsidRDefault="00330B11" w:rsidP="004C5F02">
      <w:pPr>
        <w:spacing w:line="240" w:lineRule="auto"/>
        <w:ind w:left="44"/>
        <w:rPr>
          <w:sz w:val="24"/>
          <w:szCs w:val="24"/>
        </w:rPr>
      </w:pPr>
    </w:p>
    <w:p w:rsidR="00330B11" w:rsidRDefault="00330B11" w:rsidP="004C5F02">
      <w:pPr>
        <w:spacing w:line="240" w:lineRule="auto"/>
        <w:ind w:left="44"/>
        <w:rPr>
          <w:sz w:val="24"/>
          <w:szCs w:val="24"/>
        </w:rPr>
      </w:pPr>
    </w:p>
    <w:p w:rsidR="00383E05" w:rsidRPr="001D39D0" w:rsidRDefault="00330B11" w:rsidP="001D39D0">
      <w:pPr>
        <w:spacing w:line="240" w:lineRule="auto"/>
        <w:ind w:left="44"/>
        <w:rPr>
          <w:sz w:val="24"/>
          <w:szCs w:val="24"/>
        </w:rPr>
      </w:pPr>
      <w:r>
        <w:rPr>
          <w:sz w:val="24"/>
          <w:szCs w:val="24"/>
        </w:rPr>
        <w:t>Date</w:t>
      </w:r>
      <w:r w:rsidR="001D39D0">
        <w:rPr>
          <w:sz w:val="24"/>
          <w:szCs w:val="24"/>
        </w:rPr>
        <w:t xml:space="preserve">:  </w:t>
      </w:r>
      <w:r w:rsidR="001D39D0">
        <w:rPr>
          <w:b/>
          <w:sz w:val="24"/>
          <w:szCs w:val="24"/>
        </w:rPr>
        <w:t>20 January 2016</w:t>
      </w:r>
    </w:p>
    <w:p w:rsidR="00383E05" w:rsidRPr="00383E05" w:rsidRDefault="00383E05" w:rsidP="00D40A96">
      <w:pPr>
        <w:spacing w:line="240" w:lineRule="auto"/>
        <w:ind w:left="0"/>
        <w:rPr>
          <w:sz w:val="24"/>
          <w:szCs w:val="24"/>
        </w:rPr>
      </w:pPr>
    </w:p>
    <w:p w:rsidR="00D40A96" w:rsidRDefault="00D40A96" w:rsidP="006C0A29">
      <w:pPr>
        <w:spacing w:line="240" w:lineRule="auto"/>
        <w:rPr>
          <w:b/>
          <w:sz w:val="24"/>
          <w:szCs w:val="24"/>
        </w:rPr>
      </w:pPr>
    </w:p>
    <w:p w:rsidR="00D40A96" w:rsidRDefault="00D40A96" w:rsidP="006C0A29">
      <w:pPr>
        <w:spacing w:line="240" w:lineRule="auto"/>
        <w:rPr>
          <w:b/>
          <w:sz w:val="24"/>
          <w:szCs w:val="24"/>
        </w:rPr>
      </w:pPr>
    </w:p>
    <w:p w:rsidR="006C0A29" w:rsidRDefault="006C0A29" w:rsidP="006C0A29">
      <w:pPr>
        <w:spacing w:line="240" w:lineRule="auto"/>
        <w:rPr>
          <w:b/>
          <w:sz w:val="24"/>
          <w:szCs w:val="24"/>
        </w:rPr>
      </w:pPr>
    </w:p>
    <w:p w:rsidR="006C0A29" w:rsidRPr="006C0A29" w:rsidRDefault="006C0A29" w:rsidP="006C0A29">
      <w:pPr>
        <w:spacing w:line="240" w:lineRule="auto"/>
        <w:rPr>
          <w:b/>
          <w:sz w:val="24"/>
          <w:szCs w:val="24"/>
        </w:rPr>
      </w:pPr>
    </w:p>
    <w:sectPr w:rsidR="006C0A29" w:rsidRPr="006C0A29" w:rsidSect="00562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86576"/>
    <w:multiLevelType w:val="hybridMultilevel"/>
    <w:tmpl w:val="699272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723C2A2C"/>
    <w:multiLevelType w:val="hybridMultilevel"/>
    <w:tmpl w:val="1DACAA9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E37"/>
    <w:rsid w:val="0012410B"/>
    <w:rsid w:val="001D39D0"/>
    <w:rsid w:val="00330B11"/>
    <w:rsid w:val="00383E05"/>
    <w:rsid w:val="00390118"/>
    <w:rsid w:val="004C5F02"/>
    <w:rsid w:val="0056262A"/>
    <w:rsid w:val="006C0A29"/>
    <w:rsid w:val="00824397"/>
    <w:rsid w:val="00833C94"/>
    <w:rsid w:val="008A3698"/>
    <w:rsid w:val="009B4206"/>
    <w:rsid w:val="00A94D04"/>
    <w:rsid w:val="00BB3FDF"/>
    <w:rsid w:val="00BB4E37"/>
    <w:rsid w:val="00CE314A"/>
    <w:rsid w:val="00D40A96"/>
    <w:rsid w:val="00EE3B21"/>
    <w:rsid w:val="00FE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8670"/>
  <w15:docId w15:val="{C0744F37-FC98-42AB-A324-A5EA8F84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2A"/>
    <w:pPr>
      <w:spacing w:line="276" w:lineRule="auto"/>
      <w:ind w:left="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MOR</cp:lastModifiedBy>
  <cp:revision>3</cp:revision>
  <dcterms:created xsi:type="dcterms:W3CDTF">2016-01-15T11:59:00Z</dcterms:created>
  <dcterms:modified xsi:type="dcterms:W3CDTF">2017-01-09T11:24:00Z</dcterms:modified>
</cp:coreProperties>
</file>